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B997" w14:textId="283D6DF8" w:rsidR="00077F7D" w:rsidRPr="008D5F3D" w:rsidRDefault="00077F7D">
      <w:pPr>
        <w:rPr>
          <w:b/>
          <w:bCs/>
        </w:rPr>
      </w:pPr>
      <w:r w:rsidRPr="00EA3B38">
        <w:rPr>
          <w:b/>
          <w:bCs/>
          <w:sz w:val="24"/>
          <w:szCs w:val="24"/>
        </w:rPr>
        <w:t>Úthlutunarreglur í tilraunaverkefni Brothættr</w:t>
      </w:r>
      <w:r w:rsidR="00C6645D">
        <w:rPr>
          <w:b/>
          <w:bCs/>
          <w:sz w:val="24"/>
          <w:szCs w:val="24"/>
        </w:rPr>
        <w:t>a byggða í Norðurþingi árið 2026</w:t>
      </w:r>
    </w:p>
    <w:p w14:paraId="0290AA63" w14:textId="0FB659B9" w:rsidR="00077F7D" w:rsidRDefault="00077F7D" w:rsidP="00E509E2">
      <w:pPr>
        <w:jc w:val="both"/>
      </w:pPr>
      <w:r w:rsidRPr="00077F7D">
        <w:t xml:space="preserve">1. Umsóknum skal skilað rafrænt á þar til gerðu eyðublaði. </w:t>
      </w:r>
    </w:p>
    <w:p w14:paraId="4D1EF52A" w14:textId="0053FB91" w:rsidR="00077F7D" w:rsidRDefault="00077F7D" w:rsidP="00E509E2">
      <w:pPr>
        <w:jc w:val="both"/>
      </w:pPr>
      <w:r w:rsidRPr="00077F7D">
        <w:t>2. Verkefnin</w:t>
      </w:r>
      <w:r w:rsidR="00C6645D">
        <w:t>,</w:t>
      </w:r>
      <w:r w:rsidRPr="00077F7D">
        <w:t xml:space="preserve"> sem sótt er um styrk til, þurfa fyrst og fremst að vera til þess fallin að efla samfélagið </w:t>
      </w:r>
      <w:r w:rsidR="00C6645D">
        <w:t>á þjónustusóknar</w:t>
      </w:r>
      <w:r>
        <w:t>svæðinu</w:t>
      </w:r>
      <w:r w:rsidRPr="00077F7D">
        <w:t xml:space="preserve">. </w:t>
      </w:r>
    </w:p>
    <w:p w14:paraId="20FB7134" w14:textId="37B031B6" w:rsidR="00077F7D" w:rsidRDefault="00077F7D" w:rsidP="00E509E2">
      <w:pPr>
        <w:jc w:val="both"/>
      </w:pPr>
      <w:r w:rsidRPr="00077F7D">
        <w:t xml:space="preserve">3. Umsækjendum er heitið trúnaði um það sem fram kemur í umsóknum og varðar verkefnið sem sótt er um styrk til meðan á umsóknarferlinu stendur. Að úthlutun lokinni verður birtur opinberlega listi yfir styrkt verkefni ásamt stuttri lýsingu, styrkupphæð og nöfnum styrkþega. </w:t>
      </w:r>
    </w:p>
    <w:p w14:paraId="5355C41B" w14:textId="236D5A6F" w:rsidR="00077F7D" w:rsidRDefault="00077F7D" w:rsidP="00E509E2">
      <w:pPr>
        <w:jc w:val="both"/>
      </w:pPr>
      <w:r w:rsidRPr="00077F7D">
        <w:t>4. Verkefnið</w:t>
      </w:r>
      <w:r w:rsidR="00C6645D">
        <w:t>,</w:t>
      </w:r>
      <w:r w:rsidRPr="00077F7D">
        <w:t xml:space="preserve"> eða sá hluti sem styrktur er</w:t>
      </w:r>
      <w:r w:rsidR="00C6645D">
        <w:t>,</w:t>
      </w:r>
      <w:r w:rsidRPr="00077F7D">
        <w:t xml:space="preserve"> skal að jafnaði ekki standa yfir lengur en í eitt ár frá úthlutun. Sé um að ræða langtímaverkefni skal gera grein fyrir áföngum í verkefninu og óska einungis eftir styrk fyrir þeim hluta sem áætlað er að ljúka innan 12 mánaða frá úthlutun. </w:t>
      </w:r>
    </w:p>
    <w:p w14:paraId="6CC7F8B1" w14:textId="6C8D5F54" w:rsidR="00077F7D" w:rsidRDefault="00C6645D" w:rsidP="00E509E2">
      <w:pPr>
        <w:jc w:val="both"/>
      </w:pPr>
      <w:r>
        <w:t xml:space="preserve">5. </w:t>
      </w:r>
      <w:r w:rsidR="00077F7D" w:rsidRPr="00077F7D">
        <w:t xml:space="preserve">Samningur er gerður um sérhverja styrkveitingu. Hafi samningur ekki verið undirritaður við styrkþega innan þriggja mánaða frá tilkynntri úthlutun fellur styrkveitingin sjálfkrafa niður. </w:t>
      </w:r>
    </w:p>
    <w:p w14:paraId="2179DE4E" w14:textId="64B74118" w:rsidR="00077F7D" w:rsidRDefault="00077F7D" w:rsidP="00E509E2">
      <w:pPr>
        <w:jc w:val="both"/>
      </w:pPr>
      <w:r w:rsidRPr="00077F7D">
        <w:t xml:space="preserve">6. Styrkir greiðast út samkvæmt samningi. </w:t>
      </w:r>
      <w:r>
        <w:t xml:space="preserve">Að jafnaði greiðist helmingur upphæðarinnar þegar búið er að undirrita samning um verkefnið. </w:t>
      </w:r>
      <w:r w:rsidRPr="00077F7D">
        <w:t>Styrkþegi skal skila lokaskýrslu eigi síðar en ári eftir undirritun. Lokagreiðsla fer fram þegar lokaskýrsla hefur verið samþykkt af verkefnisstjórn</w:t>
      </w:r>
      <w:r>
        <w:t xml:space="preserve"> og Byggðastofnun</w:t>
      </w:r>
      <w:r w:rsidRPr="00077F7D">
        <w:t xml:space="preserve">. </w:t>
      </w:r>
    </w:p>
    <w:p w14:paraId="3FAFE992" w14:textId="6DFC51A9" w:rsidR="00077F7D" w:rsidRDefault="00077F7D" w:rsidP="00E509E2">
      <w:pPr>
        <w:jc w:val="both"/>
      </w:pPr>
      <w:r w:rsidRPr="00077F7D">
        <w:t>7. Styrkþegi getur ekki sótt um nýjan styrk nema ef fy</w:t>
      </w:r>
      <w:r w:rsidR="00C6645D">
        <w:t xml:space="preserve">rir liggur samþykkt lokaskýrsla, eða stöðumatsskýrsla, </w:t>
      </w:r>
      <w:r w:rsidRPr="00077F7D">
        <w:t>fyrir fyrri verkefni sem hlotið hafa styrk úr frumkvæðissjóðnum</w:t>
      </w:r>
      <w:r w:rsidR="00C6645D">
        <w:t>, nema s</w:t>
      </w:r>
      <w:r>
        <w:t>amkomulag um annað á milli verkefnisaðila og verkefnisstjórnar liggi fyrir</w:t>
      </w:r>
      <w:r w:rsidR="004413C1">
        <w:t xml:space="preserve"> í kjölfar skila á áfangaskýrslu</w:t>
      </w:r>
      <w:r w:rsidRPr="00077F7D">
        <w:t xml:space="preserve">. </w:t>
      </w:r>
    </w:p>
    <w:p w14:paraId="6C25DE43" w14:textId="77777777" w:rsidR="00077F7D" w:rsidRDefault="00077F7D" w:rsidP="00E509E2">
      <w:pPr>
        <w:jc w:val="both"/>
      </w:pPr>
      <w:r w:rsidRPr="00077F7D">
        <w:t xml:space="preserve">8. Ekki er hægt að fara fram á endurmat á einstökum umsóknum eftir úthlutun. M.ö.o. ákvörðun verkefnisstjórnar er endanleg. </w:t>
      </w:r>
    </w:p>
    <w:p w14:paraId="487F1A7F" w14:textId="77777777" w:rsidR="00077F7D" w:rsidRDefault="00077F7D" w:rsidP="00E509E2">
      <w:pPr>
        <w:jc w:val="both"/>
      </w:pPr>
      <w:r w:rsidRPr="00077F7D">
        <w:t>9. Ekki er krafist mótframlags umsækjenda</w:t>
      </w:r>
      <w:r>
        <w:t xml:space="preserve"> en mótframlag getur talist verkefni til tekna í mati á umsókn</w:t>
      </w:r>
      <w:r w:rsidRPr="00077F7D">
        <w:t xml:space="preserve">. </w:t>
      </w:r>
    </w:p>
    <w:p w14:paraId="5A977F11" w14:textId="77777777" w:rsidR="00077F7D" w:rsidRDefault="00077F7D" w:rsidP="00E509E2">
      <w:pPr>
        <w:jc w:val="both"/>
      </w:pPr>
      <w:r w:rsidRPr="00077F7D">
        <w:t xml:space="preserve">10. Við mat á umsóknum verður tekið mið af eftirtöldum atriðum: </w:t>
      </w:r>
    </w:p>
    <w:p w14:paraId="45F0C668" w14:textId="45B65F6F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Hversu vel verkefnið fellur að verkefnisáætlun Brothættra byggða í byggðarlaginu. </w:t>
      </w:r>
    </w:p>
    <w:p w14:paraId="1309EFFD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Útkoma verkefnisins nýtist sem flestum í byggðarlaginu. </w:t>
      </w:r>
    </w:p>
    <w:p w14:paraId="1AA48546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Verkefnið leiði til atvinnusköpunar til framtíðar. </w:t>
      </w:r>
    </w:p>
    <w:p w14:paraId="04524255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Útfærsla verkefnisins sé líkleg til árangurs og þekking/reynsla sé til staðar. </w:t>
      </w:r>
    </w:p>
    <w:p w14:paraId="14F7D160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Markaðs- og rekstrarlegar forsendur séu trúverðugar. </w:t>
      </w:r>
    </w:p>
    <w:p w14:paraId="76A9789F" w14:textId="568C84CD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>Áhrifa verkefnisins gæti</w:t>
      </w:r>
      <w:r w:rsidR="00C6645D">
        <w:rPr>
          <w:b/>
          <w:bCs/>
        </w:rPr>
        <w:t xml:space="preserve"> fyrst og fremst í samfélaginu og/eða</w:t>
      </w:r>
      <w:r w:rsidRPr="008D5F3D">
        <w:rPr>
          <w:b/>
          <w:bCs/>
        </w:rPr>
        <w:t xml:space="preserve"> byggðarlaginu. </w:t>
      </w:r>
    </w:p>
    <w:p w14:paraId="3F7A7541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Verkefnið hvetji til samstarfs og samstöðu. </w:t>
      </w:r>
    </w:p>
    <w:p w14:paraId="5632D819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Styrkveiting hafi mikil áhrif á framgang verkefnisins. </w:t>
      </w:r>
    </w:p>
    <w:p w14:paraId="561D16EE" w14:textId="77777777" w:rsidR="00077F7D" w:rsidRPr="008D5F3D" w:rsidRDefault="00077F7D" w:rsidP="00E509E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D5F3D">
        <w:rPr>
          <w:b/>
          <w:bCs/>
        </w:rPr>
        <w:t xml:space="preserve">Hvort verkefni trufli samkeppni á þjónustusóknarsvæðinu. </w:t>
      </w:r>
    </w:p>
    <w:p w14:paraId="0816864B" w14:textId="77777777" w:rsidR="00077F7D" w:rsidRDefault="00077F7D" w:rsidP="00E509E2">
      <w:pPr>
        <w:jc w:val="both"/>
      </w:pPr>
      <w:r w:rsidRPr="00077F7D">
        <w:t xml:space="preserve">11. Ef fyrir liggur að verkefni umsóknaraðila raski ekki samkeppni á viðkomandi þjónustusóknarsvæði er heimilt að styrkja stofnfjárfestingu í aðstöðu, þ.m.t. tækjum og búnaði sem eru forsenda fyrir framleiðslu afurða og þjónustu. </w:t>
      </w:r>
    </w:p>
    <w:p w14:paraId="22162381" w14:textId="31C78676" w:rsidR="00077F7D" w:rsidRDefault="00077F7D" w:rsidP="00E509E2">
      <w:pPr>
        <w:jc w:val="both"/>
      </w:pPr>
      <w:r w:rsidRPr="00077F7D">
        <w:t xml:space="preserve">12. Samkvæmt lögum nr. 90/2018 um persónuvernd og vinnslu persónuupplýsinga, samþykkir umsækjandi að verkefnisstjórn </w:t>
      </w:r>
      <w:r>
        <w:t>tilraunaverkefnanna</w:t>
      </w:r>
      <w:r w:rsidRPr="00077F7D">
        <w:t xml:space="preserve"> afli og vinni með persónuupplýsingar sem nauðsynlegar eru til að fjalla um og greina umsókn. </w:t>
      </w:r>
    </w:p>
    <w:p w14:paraId="4C444449" w14:textId="1AC8AB9A" w:rsidR="005A0C0B" w:rsidRDefault="00077F7D" w:rsidP="00E509E2">
      <w:pPr>
        <w:jc w:val="both"/>
      </w:pPr>
      <w:r w:rsidRPr="00077F7D">
        <w:t>13. Verði misbrestur á</w:t>
      </w:r>
      <w:r w:rsidR="00C6645D">
        <w:t>,</w:t>
      </w:r>
      <w:r w:rsidRPr="00077F7D">
        <w:t xml:space="preserve"> eða önnur skilyrði verkefnisstjórnar fyrir styrkveitingu eru ekki uppfyllt</w:t>
      </w:r>
      <w:r w:rsidR="00C6645D">
        <w:t>,</w:t>
      </w:r>
      <w:r w:rsidRPr="00077F7D">
        <w:t xml:space="preserve"> er heimilt að fara fram á endurgreiðslu styrksins.</w:t>
      </w:r>
    </w:p>
    <w:sectPr w:rsidR="005A0C0B" w:rsidSect="000F0506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1DA4" w14:textId="77777777" w:rsidR="00466EEE" w:rsidRDefault="00466EEE" w:rsidP="000F0506">
      <w:pPr>
        <w:spacing w:after="0" w:line="240" w:lineRule="auto"/>
      </w:pPr>
      <w:r>
        <w:separator/>
      </w:r>
    </w:p>
  </w:endnote>
  <w:endnote w:type="continuationSeparator" w:id="0">
    <w:p w14:paraId="12D3184E" w14:textId="77777777" w:rsidR="00466EEE" w:rsidRDefault="00466EEE" w:rsidP="000F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ED5A" w14:textId="77777777" w:rsidR="00466EEE" w:rsidRDefault="00466EEE" w:rsidP="000F0506">
      <w:pPr>
        <w:spacing w:after="0" w:line="240" w:lineRule="auto"/>
      </w:pPr>
      <w:r>
        <w:separator/>
      </w:r>
    </w:p>
  </w:footnote>
  <w:footnote w:type="continuationSeparator" w:id="0">
    <w:p w14:paraId="762C5687" w14:textId="77777777" w:rsidR="00466EEE" w:rsidRDefault="00466EEE" w:rsidP="000F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D1D1" w14:textId="62ED3CF7" w:rsidR="000F0506" w:rsidRDefault="00D97327" w:rsidP="00D97327">
    <w:pPr>
      <w:pStyle w:val="Header"/>
      <w:tabs>
        <w:tab w:val="clear" w:pos="4536"/>
        <w:tab w:val="clear" w:pos="9072"/>
        <w:tab w:val="center" w:pos="4513"/>
        <w:tab w:val="right" w:pos="9026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4B51484" wp14:editId="4248B5DC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1186543" cy="288651"/>
          <wp:effectExtent l="0" t="0" r="0" b="0"/>
          <wp:wrapNone/>
          <wp:docPr id="6" name="Picture 6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grey letters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43" cy="288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200E51F" wp14:editId="5E17883B">
          <wp:simplePos x="0" y="0"/>
          <wp:positionH relativeFrom="margin">
            <wp:posOffset>5165271</wp:posOffset>
          </wp:positionH>
          <wp:positionV relativeFrom="paragraph">
            <wp:posOffset>-96428</wp:posOffset>
          </wp:positionV>
          <wp:extent cx="545221" cy="408214"/>
          <wp:effectExtent l="0" t="0" r="7620" b="0"/>
          <wp:wrapNone/>
          <wp:docPr id="4" name="Picture 4" descr="A logo with colorful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colorful triangl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08" cy="40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C5CFA4A" wp14:editId="3BE20AE8">
          <wp:simplePos x="0" y="0"/>
          <wp:positionH relativeFrom="margin">
            <wp:posOffset>2520043</wp:posOffset>
          </wp:positionH>
          <wp:positionV relativeFrom="paragraph">
            <wp:posOffset>-74657</wp:posOffset>
          </wp:positionV>
          <wp:extent cx="827314" cy="336578"/>
          <wp:effectExtent l="0" t="0" r="0" b="6350"/>
          <wp:wrapNone/>
          <wp:docPr id="600952980" name="Picture 600952980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683" cy="33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C04"/>
    <w:multiLevelType w:val="hybridMultilevel"/>
    <w:tmpl w:val="29CCC8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0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7D"/>
    <w:rsid w:val="000410E0"/>
    <w:rsid w:val="00077F7D"/>
    <w:rsid w:val="000F0506"/>
    <w:rsid w:val="00204AF1"/>
    <w:rsid w:val="004413C1"/>
    <w:rsid w:val="00466EEE"/>
    <w:rsid w:val="004D3EB8"/>
    <w:rsid w:val="005A0C0B"/>
    <w:rsid w:val="006A3E36"/>
    <w:rsid w:val="007242FA"/>
    <w:rsid w:val="007511F9"/>
    <w:rsid w:val="0077590F"/>
    <w:rsid w:val="008D5F3D"/>
    <w:rsid w:val="00B07C56"/>
    <w:rsid w:val="00C6645D"/>
    <w:rsid w:val="00CA151C"/>
    <w:rsid w:val="00D97327"/>
    <w:rsid w:val="00E4727B"/>
    <w:rsid w:val="00E509E2"/>
    <w:rsid w:val="00E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8947"/>
  <w15:chartTrackingRefBased/>
  <w15:docId w15:val="{DB2198DA-8D31-49AF-AE63-AA5EB12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F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C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06"/>
  </w:style>
  <w:style w:type="paragraph" w:styleId="Footer">
    <w:name w:val="footer"/>
    <w:basedOn w:val="Normal"/>
    <w:link w:val="FooterChar"/>
    <w:uiPriority w:val="99"/>
    <w:unhideWhenUsed/>
    <w:rsid w:val="000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38507485CF47A1FB9E449F758B5B" ma:contentTypeVersion="4" ma:contentTypeDescription="Create a new document." ma:contentTypeScope="" ma:versionID="f4e7e968f91ed00d0322d3a2dc8185bf">
  <xsd:schema xmlns:xsd="http://www.w3.org/2001/XMLSchema" xmlns:xs="http://www.w3.org/2001/XMLSchema" xmlns:p="http://schemas.microsoft.com/office/2006/metadata/properties" xmlns:ns2="27dae380-aa78-4b74-b6a0-4e6e01e0b35f" targetNamespace="http://schemas.microsoft.com/office/2006/metadata/properties" ma:root="true" ma:fieldsID="cc52500132f125a21fd61140077495ca" ns2:_="">
    <xsd:import namespace="27dae380-aa78-4b74-b6a0-4e6e01e0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e380-aa78-4b74-b6a0-4e6e01e0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F32DB-4482-4BE8-BE00-0199E158D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e380-aa78-4b74-b6a0-4e6e01e0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F33BA-E492-4FE5-B112-961906AF9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D62E72-A354-468C-B5E3-84CA53B6F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Kristján Þ. Halldórsson</dc:creator>
  <cp:keywords/>
  <dc:description/>
  <cp:lastModifiedBy>Nanna Steina Höskuldsdóttir</cp:lastModifiedBy>
  <cp:revision>2</cp:revision>
  <dcterms:created xsi:type="dcterms:W3CDTF">2026-01-15T14:39:00Z</dcterms:created>
  <dcterms:modified xsi:type="dcterms:W3CDTF">2026-01-15T14:39:00Z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0x0101008C6638507485CF47A1FB9E449F758B5B</vt:lpwstr>
  </property>
</Properties>
</file>